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01" w:rsidRPr="00AB6E01" w:rsidRDefault="00AB6E01" w:rsidP="00AB6E01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bookmarkStart w:id="0" w:name="_GoBack"/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云南省2021/2022</w:t>
      </w:r>
      <w:proofErr w:type="gramStart"/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学年初全省</w:t>
      </w:r>
      <w:proofErr w:type="gramEnd"/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教育事业发展统计公报</w:t>
      </w:r>
    </w:p>
    <w:bookmarkEnd w:id="0"/>
    <w:p w:rsidR="00AB6E01" w:rsidRPr="00AB6E01" w:rsidRDefault="00AB6E01" w:rsidP="00AB6E01">
      <w:pPr>
        <w:widowControl/>
        <w:shd w:val="clear" w:color="auto" w:fill="FFFFFF"/>
        <w:spacing w:line="300" w:lineRule="atLeast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"/>
          <w:szCs w:val="2"/>
        </w:rPr>
      </w:pPr>
      <w:r w:rsidRPr="00AB6E01">
        <w:rPr>
          <w:rFonts w:ascii="Microsoft YaHei UI" w:eastAsia="Microsoft YaHei UI" w:hAnsi="Microsoft YaHei UI" w:cs="宋体"/>
          <w:color w:val="222222"/>
          <w:spacing w:val="8"/>
          <w:kern w:val="0"/>
          <w:sz w:val="23"/>
          <w:szCs w:val="23"/>
        </w:rPr>
        <w:fldChar w:fldCharType="begin"/>
      </w:r>
      <w:r w:rsidRPr="00AB6E01">
        <w:rPr>
          <w:rFonts w:ascii="Microsoft YaHei UI" w:eastAsia="Microsoft YaHei UI" w:hAnsi="Microsoft YaHei UI" w:cs="宋体"/>
          <w:color w:val="222222"/>
          <w:spacing w:val="8"/>
          <w:kern w:val="0"/>
          <w:sz w:val="23"/>
          <w:szCs w:val="23"/>
        </w:rPr>
        <w:instrText xml:space="preserve"> HYPERLINK "javascript:void(0);" </w:instrText>
      </w:r>
      <w:r w:rsidRPr="00AB6E01">
        <w:rPr>
          <w:rFonts w:ascii="Microsoft YaHei UI" w:eastAsia="Microsoft YaHei UI" w:hAnsi="Microsoft YaHei UI" w:cs="宋体"/>
          <w:color w:val="222222"/>
          <w:spacing w:val="8"/>
          <w:kern w:val="0"/>
          <w:sz w:val="23"/>
          <w:szCs w:val="23"/>
        </w:rPr>
        <w:fldChar w:fldCharType="separate"/>
      </w:r>
      <w:r w:rsidRPr="00AB6E01">
        <w:rPr>
          <w:rFonts w:ascii="Microsoft YaHei UI" w:eastAsia="Microsoft YaHei UI" w:hAnsi="Microsoft YaHei UI" w:cs="宋体" w:hint="eastAsia"/>
          <w:color w:val="576B95"/>
          <w:spacing w:val="8"/>
          <w:kern w:val="0"/>
          <w:sz w:val="23"/>
          <w:szCs w:val="23"/>
        </w:rPr>
        <w:t>云南省教育厅</w:t>
      </w:r>
      <w:r w:rsidRPr="00AB6E01">
        <w:rPr>
          <w:rFonts w:ascii="Microsoft YaHei UI" w:eastAsia="Microsoft YaHei UI" w:hAnsi="Microsoft YaHei UI" w:cs="宋体"/>
          <w:color w:val="222222"/>
          <w:spacing w:val="8"/>
          <w:kern w:val="0"/>
          <w:sz w:val="23"/>
          <w:szCs w:val="23"/>
        </w:rPr>
        <w:fldChar w:fldCharType="end"/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2021年是“十四五”规划的开局之年，全省教育系统坚持以习近平新时代中国特色社会主义思想为指导，深入学习贯彻党的十九大和十九届历次全会精神，弘扬伟大建党精神，认真贯彻落实党中央、国务院重大决策，在省委、省政府的坚强领导下，全面加强党对教育工作的领导，全面落实立德树人根本任务，统筹推进校园疫情防控和教育事业高质量发展，继续深化教育领域综合改革，持续加强教育保障水平，努力办好人民满意的教育，全省教育事业取得新的显著成就，各级各类教育普及水平持续提高，教育质量进一步提升，教育现代化迈出坚实步伐，为云南经济社会持续健康发展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作出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了重要贡献。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01学前教育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共有幼儿园13883所，比上年增加498所，在园幼儿176.97万人，比上年增加9.70万人。幼儿园教师共8.72万人,比上年增加0.79万人。学前教育三年毛入园率达到90.23%，比上年提高1.44个百分点。普惠性幼儿园覆盖率87.3%，比上年提高4.8个百分点。每万人口学前教育在园学生375人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02义务教育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全省共有义务教育阶段学校12225所，比上年减少154所，全省义务教育阶段共招生122.94万人；在校生568.74万人；九年义务教育巩固率97.16%；专任教师37.54万人，农村义务教育专任教师本科以上学历占71.17%。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 xml:space="preserve">　　全省共有小学10533所，比上年减少155所；招生60.28万人,比上年减少4.63万人；在校生385.23万人，比上年减少4万人；毕业生63.18万人，比上年增加2.39万人。小学学龄儿童净入学率达到99.82%；其中，男童净入学率为99.81%，女童净入学率为99.84%。每万人口普通小学在校生816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全省小学专任教师23.63万人，比上年减少0.1万人。小学专任教师学历合格率99.9%，比上年提高0.04个百分点，小学生师比16.30:1。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共有初中学校1692所（其中职业初中2所），比上年增加1所。招生62.66万人，比上年增加2.27万人；在校生183.51万人，比上年增加1.15万人；毕业生61.08万人，比上年下降1.43万人。初中阶段毛入学率106.79%，比上年提高0.11个百分点。初中毕业生升学率93.95%,比上年下降0.66个百分点。每万人口初中在校生389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全省初中专任教师13.91万人，比上年减少239人。初中专任教师学历合格率99.88%，比上年提高0.13个百分点。生师比13.20:1。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普通小学校舍建筑面积3751.90万平方米，图书9950.69万册的，固定资产7471586.14万元，其中教学仪器设备资产713051.65万元。小学体育运动场（馆）面积达标学校比例91.78%,体育器械配备达标学校比例97.74%，音乐器械配备达标学校比例97.38%，美术器械配备达标学校比例97.38%，数学自然实验仪器达标学校比例97.29%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初中校舍建筑面积2335.95万平方米，图书5974.74万册，固定资产4298241.66万元，其中教学仪器设备资产349637.91万元。初中体育运动场（馆）面积达标学校比例91.73%，体育器械配备达标学校比例97.4%，</w:t>
      </w: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>音乐器械配备达标学校比例97.64%，美术器械配备达标学校比例97.52%，理科实验仪器达标学校比例96.81%。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全省义务教育阶段学校寄宿生262万人，占义务教育阶段在校生总数的比例为46.07%。其中，小学寄宿生数121.82万人；初中寄宿生数140.18万人。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全省义务教育阶段在校生中进城务工人员随迁子女共40.87万人。其中，在小学就读29.69万人，在初中就读11.19万人。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全省义务教育阶段在校生中农村留守儿童共77.25万人。其中，在小学就读50.60万人，在初中就读26.64万人。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03高中阶段教育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高中阶段教育（包括普通高中、中等职业学校、技工学校）共有学校1012所，比上年增加7所；招生59.86万人，比上年减少9.11万人；在校学生173.7万人，比上年增加0.6万人。高中阶段毛入学率91.24%。每万人口高中阶段在校生332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全省普通高中616所，比上年增加15所；招生35.67万人，比上年减少0.33万人；在校生101.57万人，比上年增加4.41万人；毕业28.99万人，比上年增加0.62万人。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普通高中专任教师7.50万人，比上年增加0.2万人，专任教师学历合格率99.08%，比上年提高了0.13个百分点；生师比13.54:1。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普通高中共有校舍建筑面积2513.64万平方米，图书4114.56万册，固定资产5023577.80万元，其中教学仪器设备资产380999.60万元。普通高中体育运动场（馆）面积达标学校比例86.85%，体育器械配备达标学</w:t>
      </w: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>校比例93.18%，音乐器械配备达标学校比例92.69%，美术器械配备达标学校比例92.69%，理科实验仪器达标学校比例92.53%。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中等职业教育（包括普通中等专业学校、职业高中、技工学校和成人中等专业学校）共有学校396所，比上年减少8所；招生24.19万人，比上年减少8.77万人，占高中阶段教育招生总数的40.42%；在校生72.13万人，比上年减少3.81万人，占高中阶段教育在校生总数的41.53%；毕业生21.33万人，比上年增加2.77万人。专任教师2.61万人，比上年增加956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全省普通中等专业学校86所，比上年减少2所；普通中等专业学校教职工9377人，比上年减少143人；专任教师6955人，比上年减少585人。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全省职业高中160所，比上年减少1所；职业高中教职工12292人，比上年增加216人；专任教师10588人，比上年减少25人。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全省成人中等专业学校117所，比上年减少3所；成人中等专业学校教职工1967人，比上年减少260人；专任教师1716人，比上年减少254人。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全省全日制中职招生15.06万人，在校生43.83万人，毕业生14.81万人；非全日制中职招生2.48万人，在校生11.26万人，毕业生2.74万人。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全省技工学校33所，比上年减少2所；招生6.65万人，比上年增加0.2万人；在校生17.04万人，比上年增加1.03万人；毕业生3.78万人，</w:t>
      </w: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>比上年增加0.32万人。技工学校教职工5844人，比上年增加546人；专任教师4505人，比上年增加206人。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中等职业学校（不含技工学校）占地面积1622.47万平方米，比上年减少32.25万平方米；校舍建筑面积733.31万平方米，比上年增加49.93万平方米，其中教学行政用房面积372.09万平方米，比上年增加20.89万平方米；图书750.73万册，比上年减少50.51万册；固定资产总值1813195.90万元，比上年增加129776.12万元，其中教学、实习仪器设备资产值252643.20万元，比上年增加12611.72万元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04高等教育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全省各类高等教育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在学总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规模达到150.15万人，高等教育毛入学率达到53.03%。全省共有普通高等学校和成人高等学校83所（含1所中央部委属高校），与上年持平。其中，普通高等学校82所（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含独立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学院4所），与上年持平；成人高等学校1所，与上年持平。普通高校中本科院校32所，与上年持平。高职（专科）院校50所，与上年持平。全省共有培养研究生单位15个，其中高等学校13个，科研机构2个。每万人口高等教育在校生287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招收研究生23011人，比上年增加1768人，增长8.32%。其中，招收博士生1133人，招收硕士生21878人；在学研究生63559人，比上年增加8827人，增长16.13%。其中，在学博士生4720人，在学硕士生58839人；毕业研究生13648人，比上年增加776人，增长6.03%。其中，毕业博士生463人，毕业硕士生13185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 xml:space="preserve">　　普通高等教育本科共招生14.74万人，比上年增加1.84万人，增长14.22%；在校生51.54万人，比上年增加1.60万人，增长3.21%；毕业生12.68万人，比上年增加0.98万人，增长8.35%。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普通高等教育专科共招生20.46万人，比上年增加4.21万人，增长25.87%；在校生52.86万人，比上年增加6.38万人，增长13.73%；毕业生13.25万人，比上年增加1.43万人，增长12.13%。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成人高等教育本专科共招生7.23万人，比上年减少1.55万人；在校生24.81万人，比上年减少1.67万人；毕业生8.14万人，比上年增加1.68万人。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网络本专科共招生4.74万人，在校生14.58万人，毕业生3.04万人。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普通高等学校本科、高职（专科）全日制在校生平均规模12890人，其中，本科学校16108人，高职（专科）学校10788人。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普通高等学校教职工6.34万人，比上年增加0.53万人；专任教师4.42万人，比上年增加852人。普通高校生师比为26.91:1。成人高等学校教职工60人，专任教师34人。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高等学校占地总面积4695.98万平方米，比上年减少70.5万平方米；校舍总建筑面积2741.99万平方米（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含正在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建设施工293.47万平方米、非产权独立使用1860.58万平方米），比上年增加83.32万平方米；教学科研仪器设备总值1070632.23万元，比上年增加103335.81万元；图书7503.52万册，比上年增加了358.29万册。其中普通高校占地面积3028.69万平方米，校舍总建筑面积（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含正在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建设施工、非产权独立使用）1707.45万平方米，教学科研仪器设备总值777436.65万元，图书5333.32万册；</w:t>
      </w: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>职业高校占地面积1664.41万平方米，校舍总建筑面积（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含正在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建设施工、非产权独立使用）1031.52万平方米，教学科研仪器设备总值290274.17万元，图书2170.20万册；成人高校占地面积2.89万平方米，校舍总建筑面积（含非产权独立使用）3.03万平方米，教学科研仪器设备总值2921.4万元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05民族教育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全省共有少数民族在校生412.33万人，占全省在校生数的31.25%，其中高等教育阶段44.12万人，高中阶段56.66万人，初中阶段74.07万人，初等教育阶段165.55万人，学前教育阶段71.39万人，其他教育0.54万人。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06民办教育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全省共有各级各类民办学校（教育机构）6564所，比上年增加105所；招生68.06万人，比上年减少3.45人；各类教育在校生达186.60万人，比上年增加9.72万，占同级教育规模在校生18.53%。其中：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民办幼儿园6103所（其中普惠性民办幼儿园4835所），入园儿童37.41万人，离园儿童31.03万人，在园儿童97.23万人（其中普惠性民办幼儿园在园儿童74.76万），占同级教育规模在校生54.94%。教职工10.04万人，其中专任教师5.19万人；占地面积1174.48万平方米，校舍建筑面积828.95万平方米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民办普通小学109所，招生1.86万人，毕业1.69万人，在校生11.76万人，占同级教育规模在校生3.05%。教职工3339人，专任教师6637人；</w:t>
      </w: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lastRenderedPageBreak/>
        <w:t>占地面积91.3万平方米，校舍建筑面积40.58万平方米，固定资产值5.17亿元。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民办普通初中92所，招生5.22万人，毕业4.09万人，在校生15.12万人，占同级教育规模在校生8.24%。教职工5971人，专任教师9752人；占地面积153.08万平方米，校舍建筑面积88.16万平方米，固定资产值14.40亿元。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民办高中193所，招生6.75万人，毕业3.97万人，在校生18.04万人，占同级教育规模在校生17.76%。教职工26361人，专任教师12358人；占地面积1314.35万平方米，校舍建筑面积679.17万平方米，固定资产值123.11亿元。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民办中职学校46所，招生6.14万人，毕业6.90万人，在校生13.35万人，占同级教育规模在校生24.23%。教职工3002人，专任教师3445人；占地面积（含非产权独立使用）212.9万平方米，校舍建筑面积（含非产权独立使用）106.12万平方米，固定资产值9.83亿元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民办高校21所（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含独立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学院4所），其中本科高校9所，高职高专12所；招生10.68万人，毕业8.06万人，在校生31.11万人，占同级教育规模在校生29.79%，其中，普通本科在校生13.81万人，专科在校生17.30万人；教职工1.67万人，其中专任教师1.20万人；占地面积（含非产权独立使用）1002.29万平方米；校舍建筑面积（含非产权独立使用）537.46万平方米；固定资产值150.97亿元。</w:t>
      </w:r>
    </w:p>
    <w:p w:rsidR="00AB6E01" w:rsidRDefault="00AB6E01" w:rsidP="00AB6E01">
      <w:pPr>
        <w:widowControl/>
        <w:shd w:val="clear" w:color="auto" w:fill="FFFFFF"/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</w:pPr>
    </w:p>
    <w:p w:rsidR="00AB6E01" w:rsidRDefault="00AB6E01" w:rsidP="00AB6E01">
      <w:pPr>
        <w:widowControl/>
        <w:shd w:val="clear" w:color="auto" w:fill="FFFFFF"/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</w:pP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lastRenderedPageBreak/>
        <w:t>07特殊教育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共有特殊教育学校83所，比上年增加13所；特殊教育学校共有专任教师2568人。全省共招收特殊教育学生8093人，比上年增加285人；在校生47394人，比上年增加1500人。特殊教育毕业生10158人，比上年增加1399人。其中，特殊教育学校和附设特教班招生1969人，在校生13477人，毕业生2049人；普通小学、初中随班就读、送教上门招生6124人，在校生33917人，毕业生8109人。</w:t>
      </w:r>
    </w:p>
    <w:p w:rsidR="00AB6E01" w:rsidRPr="00AB6E01" w:rsidRDefault="00AB6E01" w:rsidP="00AB6E0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08成人培训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全省职业技术培训机构8242所，其中：职工技术培训学校（机构）52所、农村成人文化技术培训学校（机构）6746所，其他培训机构（含社会培训机构）1444所。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 xml:space="preserve">　　全省职业技术培训机构教职工22581人，其中专任教师15256人，注册学生数318.61万人，结业学生370.32万人。</w:t>
      </w:r>
    </w:p>
    <w:p w:rsidR="00AB6E01" w:rsidRPr="00AB6E01" w:rsidRDefault="00AB6E01" w:rsidP="00AB6E01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（以上数据摘录自2021/2022</w:t>
      </w:r>
      <w:proofErr w:type="gramStart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学年初</w:t>
      </w:r>
      <w:proofErr w:type="gramEnd"/>
      <w:r w:rsidRPr="00AB6E0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教育事业统计报表，由云南省教育厅发展规划处负责解释）</w:t>
      </w:r>
    </w:p>
    <w:p w:rsidR="008665E4" w:rsidRPr="00AB6E01" w:rsidRDefault="00AB6E01"/>
    <w:sectPr w:rsidR="008665E4" w:rsidRPr="00AB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98"/>
    <w:rsid w:val="00315A58"/>
    <w:rsid w:val="00AB4320"/>
    <w:rsid w:val="00AB6E01"/>
    <w:rsid w:val="00B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6E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6E0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B6E01"/>
  </w:style>
  <w:style w:type="character" w:styleId="a3">
    <w:name w:val="Hyperlink"/>
    <w:basedOn w:val="a0"/>
    <w:uiPriority w:val="99"/>
    <w:semiHidden/>
    <w:unhideWhenUsed/>
    <w:rsid w:val="00AB6E01"/>
    <w:rPr>
      <w:color w:val="0000FF"/>
      <w:u w:val="single"/>
    </w:rPr>
  </w:style>
  <w:style w:type="character" w:styleId="a4">
    <w:name w:val="Emphasis"/>
    <w:basedOn w:val="a0"/>
    <w:uiPriority w:val="20"/>
    <w:qFormat/>
    <w:rsid w:val="00AB6E01"/>
    <w:rPr>
      <w:i/>
      <w:iCs/>
    </w:rPr>
  </w:style>
  <w:style w:type="paragraph" w:styleId="a5">
    <w:name w:val="Normal (Web)"/>
    <w:basedOn w:val="a"/>
    <w:uiPriority w:val="99"/>
    <w:semiHidden/>
    <w:unhideWhenUsed/>
    <w:rsid w:val="00AB6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B6E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6E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6E0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B6E01"/>
  </w:style>
  <w:style w:type="character" w:styleId="a3">
    <w:name w:val="Hyperlink"/>
    <w:basedOn w:val="a0"/>
    <w:uiPriority w:val="99"/>
    <w:semiHidden/>
    <w:unhideWhenUsed/>
    <w:rsid w:val="00AB6E01"/>
    <w:rPr>
      <w:color w:val="0000FF"/>
      <w:u w:val="single"/>
    </w:rPr>
  </w:style>
  <w:style w:type="character" w:styleId="a4">
    <w:name w:val="Emphasis"/>
    <w:basedOn w:val="a0"/>
    <w:uiPriority w:val="20"/>
    <w:qFormat/>
    <w:rsid w:val="00AB6E01"/>
    <w:rPr>
      <w:i/>
      <w:iCs/>
    </w:rPr>
  </w:style>
  <w:style w:type="paragraph" w:styleId="a5">
    <w:name w:val="Normal (Web)"/>
    <w:basedOn w:val="a"/>
    <w:uiPriority w:val="99"/>
    <w:semiHidden/>
    <w:unhideWhenUsed/>
    <w:rsid w:val="00AB6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B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863</Words>
  <Characters>4921</Characters>
  <Application>Microsoft Office Word</Application>
  <DocSecurity>0</DocSecurity>
  <Lines>41</Lines>
  <Paragraphs>11</Paragraphs>
  <ScaleCrop>false</ScaleCrop>
  <Company>微软中国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2</cp:revision>
  <dcterms:created xsi:type="dcterms:W3CDTF">2022-03-31T01:23:00Z</dcterms:created>
  <dcterms:modified xsi:type="dcterms:W3CDTF">2022-03-31T01:25:00Z</dcterms:modified>
</cp:coreProperties>
</file>